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val="0"/>
        <w:kinsoku/>
        <w:wordWrap/>
        <w:overflowPunct/>
        <w:topLinePunct w:val="0"/>
        <w:autoSpaceDE w:val="0"/>
        <w:autoSpaceDN w:val="0"/>
        <w:bidi w:val="0"/>
        <w:adjustRightInd/>
        <w:snapToGrid/>
        <w:spacing w:line="6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中华人民共和国</w:t>
      </w:r>
      <w:r>
        <w:rPr>
          <w:rFonts w:hint="eastAsia" w:ascii="方正小标宋简体" w:hAnsi="方正小标宋简体" w:eastAsia="方正小标宋简体" w:cs="方正小标宋简体"/>
          <w:b w:val="0"/>
          <w:bCs w:val="0"/>
          <w:sz w:val="44"/>
          <w:szCs w:val="44"/>
          <w:lang w:eastAsia="zh-CN"/>
        </w:rPr>
        <w:t>供销合作</w:t>
      </w:r>
      <w:r>
        <w:rPr>
          <w:rFonts w:hint="eastAsia" w:ascii="方正小标宋简体" w:hAnsi="方正小标宋简体" w:eastAsia="方正小标宋简体" w:cs="方正小标宋简体"/>
          <w:b w:val="0"/>
          <w:bCs w:val="0"/>
          <w:sz w:val="44"/>
          <w:szCs w:val="44"/>
        </w:rPr>
        <w:t>行业标准</w:t>
      </w:r>
    </w:p>
    <w:p>
      <w:pPr>
        <w:keepNext w:val="0"/>
        <w:keepLines w:val="0"/>
        <w:pageBreakBefore w:val="0"/>
        <w:widowControl w:val="0"/>
        <w:kinsoku/>
        <w:wordWrap/>
        <w:overflowPunct/>
        <w:topLinePunct w:val="0"/>
        <w:autoSpaceDE w:val="0"/>
        <w:autoSpaceDN w:val="0"/>
        <w:bidi w:val="0"/>
        <w:adjustRightInd/>
        <w:snapToGrid/>
        <w:spacing w:line="6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36"/>
          <w:szCs w:val="36"/>
        </w:rPr>
      </w:pPr>
      <w:r>
        <w:rPr>
          <w:rFonts w:hint="eastAsia" w:ascii="方正小标宋简体" w:hAnsi="方正小标宋简体" w:eastAsia="方正小标宋简体" w:cs="方正小标宋简体"/>
          <w:b w:val="0"/>
          <w:bCs w:val="0"/>
          <w:sz w:val="36"/>
          <w:szCs w:val="36"/>
        </w:rPr>
        <w:t>《农资物流信息系统技术规范》</w:t>
      </w:r>
    </w:p>
    <w:p>
      <w:pPr>
        <w:keepNext w:val="0"/>
        <w:keepLines w:val="0"/>
        <w:pageBreakBefore w:val="0"/>
        <w:widowControl w:val="0"/>
        <w:kinsoku/>
        <w:wordWrap/>
        <w:overflowPunct/>
        <w:topLinePunct w:val="0"/>
        <w:autoSpaceDE w:val="0"/>
        <w:autoSpaceDN w:val="0"/>
        <w:bidi w:val="0"/>
        <w:adjustRightInd/>
        <w:snapToGrid/>
        <w:spacing w:line="600" w:lineRule="exact"/>
        <w:ind w:left="0" w:leftChars="0" w:right="0" w:rightChars="0" w:firstLine="0" w:firstLineChars="0"/>
        <w:jc w:val="center"/>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（征求意见稿）</w:t>
      </w:r>
    </w:p>
    <w:p>
      <w:pPr>
        <w:keepNext w:val="0"/>
        <w:keepLines w:val="0"/>
        <w:pageBreakBefore w:val="0"/>
        <w:widowControl w:val="0"/>
        <w:kinsoku/>
        <w:wordWrap/>
        <w:overflowPunct/>
        <w:topLinePunct w:val="0"/>
        <w:autoSpaceDE w:val="0"/>
        <w:autoSpaceDN w:val="0"/>
        <w:bidi w:val="0"/>
        <w:adjustRightInd/>
        <w:snapToGrid/>
        <w:spacing w:line="6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36"/>
          <w:szCs w:val="36"/>
        </w:rPr>
      </w:pPr>
    </w:p>
    <w:p>
      <w:pPr>
        <w:keepNext w:val="0"/>
        <w:keepLines w:val="0"/>
        <w:pageBreakBefore w:val="0"/>
        <w:widowControl w:val="0"/>
        <w:kinsoku/>
        <w:wordWrap/>
        <w:overflowPunct/>
        <w:topLinePunct w:val="0"/>
        <w:autoSpaceDE w:val="0"/>
        <w:autoSpaceDN w:val="0"/>
        <w:bidi w:val="0"/>
        <w:adjustRightInd/>
        <w:snapToGrid/>
        <w:spacing w:line="6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36"/>
          <w:szCs w:val="36"/>
        </w:rPr>
      </w:pPr>
    </w:p>
    <w:p>
      <w:pPr>
        <w:keepNext w:val="0"/>
        <w:keepLines w:val="0"/>
        <w:pageBreakBefore w:val="0"/>
        <w:widowControl w:val="0"/>
        <w:kinsoku/>
        <w:wordWrap/>
        <w:overflowPunct/>
        <w:topLinePunct w:val="0"/>
        <w:autoSpaceDE w:val="0"/>
        <w:autoSpaceDN w:val="0"/>
        <w:bidi w:val="0"/>
        <w:adjustRightInd/>
        <w:snapToGrid/>
        <w:spacing w:line="6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编制说明</w:t>
      </w:r>
    </w:p>
    <w:p>
      <w:pPr>
        <w:widowControl w:val="0"/>
        <w:autoSpaceDE w:val="0"/>
        <w:autoSpaceDN w:val="0"/>
        <w:spacing w:line="300" w:lineRule="auto"/>
        <w:jc w:val="center"/>
        <w:rPr>
          <w:rFonts w:hint="eastAsia" w:ascii="仿宋_GB2312" w:hAnsi="仿宋_GB2312" w:eastAsia="仿宋_GB2312"/>
          <w:sz w:val="32"/>
        </w:rPr>
      </w:pPr>
    </w:p>
    <w:p>
      <w:pPr>
        <w:widowControl w:val="0"/>
        <w:autoSpaceDE w:val="0"/>
        <w:autoSpaceDN w:val="0"/>
        <w:spacing w:line="300" w:lineRule="auto"/>
        <w:jc w:val="center"/>
        <w:rPr>
          <w:rFonts w:hint="eastAsia" w:ascii="仿宋_GB2312" w:hAnsi="仿宋_GB2312" w:eastAsia="仿宋_GB2312"/>
          <w:sz w:val="32"/>
        </w:rPr>
      </w:pPr>
      <w:bookmarkStart w:id="8" w:name="_GoBack"/>
      <w:bookmarkEnd w:id="8"/>
    </w:p>
    <w:p>
      <w:pPr>
        <w:widowControl w:val="0"/>
        <w:autoSpaceDE w:val="0"/>
        <w:autoSpaceDN w:val="0"/>
        <w:spacing w:line="300" w:lineRule="auto"/>
        <w:jc w:val="center"/>
        <w:rPr>
          <w:rFonts w:hint="eastAsia" w:ascii="仿宋_GB2312" w:hAnsi="仿宋_GB2312" w:eastAsia="仿宋_GB2312"/>
          <w:sz w:val="32"/>
        </w:rPr>
      </w:pPr>
    </w:p>
    <w:p>
      <w:pPr>
        <w:widowControl w:val="0"/>
        <w:autoSpaceDE w:val="0"/>
        <w:autoSpaceDN w:val="0"/>
        <w:spacing w:line="300" w:lineRule="auto"/>
        <w:jc w:val="center"/>
        <w:rPr>
          <w:rFonts w:hint="eastAsia" w:ascii="仿宋_GB2312" w:hAnsi="仿宋_GB2312" w:eastAsia="仿宋_GB2312"/>
          <w:sz w:val="32"/>
        </w:rPr>
      </w:pPr>
    </w:p>
    <w:p>
      <w:pPr>
        <w:widowControl w:val="0"/>
        <w:autoSpaceDE w:val="0"/>
        <w:autoSpaceDN w:val="0"/>
        <w:spacing w:line="300" w:lineRule="auto"/>
        <w:jc w:val="center"/>
        <w:rPr>
          <w:rFonts w:hint="eastAsia" w:ascii="仿宋_GB2312" w:hAnsi="仿宋_GB2312" w:eastAsia="仿宋_GB2312"/>
          <w:sz w:val="32"/>
        </w:rPr>
      </w:pPr>
    </w:p>
    <w:p>
      <w:pPr>
        <w:widowControl w:val="0"/>
        <w:autoSpaceDE w:val="0"/>
        <w:autoSpaceDN w:val="0"/>
        <w:spacing w:line="300" w:lineRule="auto"/>
        <w:jc w:val="center"/>
        <w:rPr>
          <w:rFonts w:hint="eastAsia" w:ascii="仿宋_GB2312" w:hAnsi="仿宋_GB2312" w:eastAsia="仿宋_GB2312"/>
          <w:sz w:val="32"/>
        </w:rPr>
      </w:pPr>
    </w:p>
    <w:p>
      <w:pPr>
        <w:widowControl w:val="0"/>
        <w:autoSpaceDE w:val="0"/>
        <w:autoSpaceDN w:val="0"/>
        <w:spacing w:line="300" w:lineRule="auto"/>
        <w:jc w:val="center"/>
        <w:rPr>
          <w:rFonts w:hint="eastAsia" w:ascii="仿宋_GB2312" w:hAnsi="仿宋_GB2312" w:eastAsia="仿宋_GB2312"/>
          <w:sz w:val="32"/>
        </w:rPr>
      </w:pPr>
    </w:p>
    <w:p>
      <w:pPr>
        <w:widowControl w:val="0"/>
        <w:autoSpaceDE w:val="0"/>
        <w:autoSpaceDN w:val="0"/>
        <w:spacing w:line="300" w:lineRule="auto"/>
        <w:jc w:val="center"/>
        <w:rPr>
          <w:rFonts w:hint="eastAsia" w:ascii="仿宋_GB2312" w:hAnsi="仿宋_GB2312" w:eastAsia="仿宋_GB2312"/>
          <w:sz w:val="32"/>
        </w:rPr>
      </w:pPr>
    </w:p>
    <w:p>
      <w:pPr>
        <w:widowControl w:val="0"/>
        <w:autoSpaceDE w:val="0"/>
        <w:autoSpaceDN w:val="0"/>
        <w:spacing w:line="300" w:lineRule="auto"/>
        <w:jc w:val="center"/>
        <w:rPr>
          <w:rFonts w:hint="eastAsia" w:ascii="仿宋_GB2312" w:hAnsi="仿宋_GB2312" w:eastAsia="仿宋_GB2312"/>
          <w:sz w:val="32"/>
        </w:rPr>
      </w:pPr>
    </w:p>
    <w:p>
      <w:pPr>
        <w:widowControl w:val="0"/>
        <w:autoSpaceDE w:val="0"/>
        <w:autoSpaceDN w:val="0"/>
        <w:spacing w:line="300" w:lineRule="auto"/>
        <w:jc w:val="center"/>
        <w:rPr>
          <w:rFonts w:hint="eastAsia" w:ascii="仿宋_GB2312" w:hAnsi="仿宋_GB2312" w:eastAsia="仿宋_GB2312"/>
          <w:sz w:val="32"/>
        </w:rPr>
      </w:pPr>
    </w:p>
    <w:p>
      <w:pPr>
        <w:widowControl w:val="0"/>
        <w:autoSpaceDE w:val="0"/>
        <w:autoSpaceDN w:val="0"/>
        <w:spacing w:line="300" w:lineRule="auto"/>
        <w:jc w:val="center"/>
        <w:rPr>
          <w:rFonts w:hint="eastAsia" w:ascii="仿宋_GB2312" w:hAnsi="仿宋_GB2312" w:eastAsia="仿宋_GB2312"/>
          <w:sz w:val="32"/>
        </w:rPr>
      </w:pPr>
    </w:p>
    <w:p>
      <w:pPr>
        <w:widowControl w:val="0"/>
        <w:autoSpaceDE w:val="0"/>
        <w:autoSpaceDN w:val="0"/>
        <w:spacing w:line="300" w:lineRule="auto"/>
        <w:jc w:val="center"/>
        <w:rPr>
          <w:rFonts w:hint="eastAsia" w:ascii="仿宋_GB2312" w:hAnsi="仿宋_GB2312" w:eastAsia="仿宋_GB2312"/>
          <w:sz w:val="32"/>
        </w:rPr>
      </w:pPr>
    </w:p>
    <w:p>
      <w:pPr>
        <w:widowControl w:val="0"/>
        <w:autoSpaceDE w:val="0"/>
        <w:autoSpaceDN w:val="0"/>
        <w:spacing w:line="300" w:lineRule="auto"/>
        <w:jc w:val="center"/>
        <w:rPr>
          <w:rFonts w:hint="eastAsia" w:ascii="仿宋_GB2312" w:hAnsi="仿宋_GB2312" w:eastAsia="仿宋_GB2312"/>
          <w:sz w:val="32"/>
        </w:rPr>
      </w:pPr>
    </w:p>
    <w:p>
      <w:pPr>
        <w:keepNext w:val="0"/>
        <w:keepLines w:val="0"/>
        <w:pageBreakBefore w:val="0"/>
        <w:kinsoku/>
        <w:wordWrap/>
        <w:overflowPunct/>
        <w:topLinePunct w:val="0"/>
        <w:bidi w:val="0"/>
        <w:adjustRightInd/>
        <w:snapToGrid/>
        <w:spacing w:line="600" w:lineRule="exact"/>
        <w:ind w:left="0" w:leftChars="0" w:right="0" w:rightChars="0" w:firstLine="640" w:firstLineChars="200"/>
        <w:jc w:val="center"/>
        <w:textAlignment w:val="auto"/>
        <w:outlineLvl w:val="9"/>
        <w:rPr>
          <w:rFonts w:hint="eastAsia" w:ascii="仿宋_GB2312" w:hAnsi="仿宋" w:eastAsia="仿宋_GB2312" w:cs="仿宋"/>
          <w:sz w:val="32"/>
          <w:szCs w:val="32"/>
        </w:rPr>
      </w:pPr>
      <w:r>
        <w:rPr>
          <w:rFonts w:hint="eastAsia" w:ascii="仿宋_GB2312" w:hAnsi="仿宋" w:eastAsia="仿宋_GB2312" w:cs="仿宋"/>
          <w:sz w:val="32"/>
          <w:szCs w:val="32"/>
        </w:rPr>
        <w:t>《</w:t>
      </w:r>
      <w:r>
        <w:rPr>
          <w:rFonts w:hint="eastAsia" w:ascii="仿宋_GB2312" w:hAnsi="仿宋" w:eastAsia="仿宋_GB2312" w:cs="仿宋"/>
          <w:sz w:val="32"/>
          <w:szCs w:val="32"/>
          <w:lang w:eastAsia="zh-CN"/>
        </w:rPr>
        <w:t>农资物流信息系统技术规范</w:t>
      </w:r>
      <w:r>
        <w:rPr>
          <w:rFonts w:hint="eastAsia" w:ascii="仿宋_GB2312" w:hAnsi="仿宋" w:eastAsia="仿宋_GB2312" w:cs="仿宋"/>
          <w:sz w:val="32"/>
          <w:szCs w:val="32"/>
        </w:rPr>
        <w:t>》编制组</w:t>
      </w:r>
    </w:p>
    <w:p>
      <w:pPr>
        <w:keepNext w:val="0"/>
        <w:keepLines w:val="0"/>
        <w:pageBreakBefore w:val="0"/>
        <w:kinsoku/>
        <w:wordWrap/>
        <w:overflowPunct/>
        <w:topLinePunct w:val="0"/>
        <w:bidi w:val="0"/>
        <w:adjustRightInd/>
        <w:snapToGrid/>
        <w:spacing w:line="600" w:lineRule="exact"/>
        <w:ind w:left="0" w:leftChars="0" w:right="0" w:rightChars="0" w:firstLine="640" w:firstLineChars="200"/>
        <w:jc w:val="center"/>
        <w:textAlignment w:val="auto"/>
        <w:outlineLvl w:val="9"/>
        <w:rPr>
          <w:rFonts w:hint="eastAsia" w:ascii="仿宋_GB2312" w:hAnsi="仿宋" w:eastAsia="仿宋_GB2312" w:cs="仿宋"/>
          <w:sz w:val="32"/>
          <w:szCs w:val="32"/>
        </w:rPr>
      </w:pPr>
      <w:r>
        <w:rPr>
          <w:rFonts w:hint="eastAsia" w:ascii="仿宋_GB2312" w:hAnsi="仿宋" w:eastAsia="仿宋_GB2312" w:cs="仿宋"/>
          <w:sz w:val="32"/>
          <w:szCs w:val="32"/>
        </w:rPr>
        <w:t>二零一七年</w:t>
      </w:r>
      <w:r>
        <w:rPr>
          <w:rFonts w:hint="eastAsia" w:ascii="仿宋_GB2312" w:hAnsi="仿宋" w:eastAsia="仿宋_GB2312" w:cs="仿宋"/>
          <w:sz w:val="32"/>
          <w:szCs w:val="32"/>
          <w:lang w:eastAsia="zh-CN"/>
        </w:rPr>
        <w:t>七</w:t>
      </w:r>
      <w:r>
        <w:rPr>
          <w:rFonts w:hint="eastAsia" w:ascii="仿宋_GB2312" w:hAnsi="仿宋" w:eastAsia="仿宋_GB2312" w:cs="仿宋"/>
          <w:sz w:val="32"/>
          <w:szCs w:val="32"/>
        </w:rPr>
        <w:t>月</w:t>
      </w:r>
    </w:p>
    <w:p>
      <w:pPr>
        <w:keepNext w:val="0"/>
        <w:keepLines w:val="0"/>
        <w:pageBreakBefore w:val="0"/>
        <w:widowControl w:val="0"/>
        <w:kinsoku/>
        <w:wordWrap/>
        <w:overflowPunct/>
        <w:topLinePunct w:val="0"/>
        <w:autoSpaceDE w:val="0"/>
        <w:autoSpaceDN w:val="0"/>
        <w:bidi w:val="0"/>
        <w:adjustRightInd/>
        <w:snapToGrid/>
        <w:spacing w:line="6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32"/>
          <w:szCs w:val="32"/>
        </w:rPr>
      </w:pPr>
    </w:p>
    <w:p>
      <w:pPr>
        <w:keepNext w:val="0"/>
        <w:keepLines w:val="0"/>
        <w:pageBreakBefore w:val="0"/>
        <w:widowControl w:val="0"/>
        <w:kinsoku/>
        <w:wordWrap/>
        <w:overflowPunct/>
        <w:topLinePunct w:val="0"/>
        <w:autoSpaceDE w:val="0"/>
        <w:autoSpaceDN w:val="0"/>
        <w:bidi w:val="0"/>
        <w:adjustRightInd/>
        <w:snapToGrid/>
        <w:spacing w:line="6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32"/>
          <w:szCs w:val="32"/>
        </w:rPr>
      </w:pPr>
    </w:p>
    <w:p>
      <w:pPr>
        <w:keepNext w:val="0"/>
        <w:keepLines w:val="0"/>
        <w:pageBreakBefore w:val="0"/>
        <w:widowControl w:val="0"/>
        <w:kinsoku/>
        <w:wordWrap/>
        <w:overflowPunct/>
        <w:topLinePunct w:val="0"/>
        <w:autoSpaceDE w:val="0"/>
        <w:autoSpaceDN w:val="0"/>
        <w:bidi w:val="0"/>
        <w:adjustRightInd/>
        <w:snapToGrid/>
        <w:spacing w:line="6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32"/>
          <w:szCs w:val="32"/>
        </w:rPr>
      </w:pPr>
      <w:r>
        <w:rPr>
          <w:rFonts w:hint="eastAsia" w:ascii="方正小标宋简体" w:hAnsi="方正小标宋简体" w:eastAsia="方正小标宋简体" w:cs="方正小标宋简体"/>
          <w:b w:val="0"/>
          <w:bCs w:val="0"/>
          <w:sz w:val="32"/>
          <w:szCs w:val="32"/>
        </w:rPr>
        <w:t>《</w:t>
      </w:r>
      <w:r>
        <w:rPr>
          <w:rFonts w:hint="eastAsia" w:ascii="方正小标宋简体" w:hAnsi="方正小标宋简体" w:eastAsia="方正小标宋简体" w:cs="方正小标宋简体"/>
          <w:b w:val="0"/>
          <w:bCs w:val="0"/>
          <w:sz w:val="32"/>
          <w:szCs w:val="32"/>
          <w:lang w:eastAsia="zh-CN"/>
        </w:rPr>
        <w:t>农资物流信息系统技术规范</w:t>
      </w:r>
      <w:r>
        <w:rPr>
          <w:rFonts w:hint="eastAsia" w:ascii="方正小标宋简体" w:hAnsi="方正小标宋简体" w:eastAsia="方正小标宋简体" w:cs="方正小标宋简体"/>
          <w:b w:val="0"/>
          <w:bCs w:val="0"/>
          <w:sz w:val="32"/>
          <w:szCs w:val="32"/>
        </w:rPr>
        <w:t>》（征求意见稿）</w:t>
      </w:r>
    </w:p>
    <w:p>
      <w:pPr>
        <w:keepNext w:val="0"/>
        <w:keepLines w:val="0"/>
        <w:pageBreakBefore w:val="0"/>
        <w:widowControl w:val="0"/>
        <w:kinsoku/>
        <w:wordWrap/>
        <w:overflowPunct/>
        <w:topLinePunct w:val="0"/>
        <w:autoSpaceDE w:val="0"/>
        <w:autoSpaceDN w:val="0"/>
        <w:bidi w:val="0"/>
        <w:adjustRightInd/>
        <w:snapToGrid/>
        <w:spacing w:line="6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36"/>
          <w:szCs w:val="36"/>
          <w:lang w:eastAsia="zh-CN"/>
        </w:rPr>
      </w:pPr>
      <w:r>
        <w:rPr>
          <w:rFonts w:hint="eastAsia" w:ascii="方正小标宋简体" w:hAnsi="方正小标宋简体" w:eastAsia="方正小标宋简体" w:cs="方正小标宋简体"/>
          <w:b w:val="0"/>
          <w:bCs w:val="0"/>
          <w:sz w:val="32"/>
          <w:szCs w:val="32"/>
          <w:lang w:eastAsia="zh-CN"/>
        </w:rPr>
        <w:t>编制说明</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宋体" w:hAnsi="宋体" w:eastAsia="宋体" w:cs="宋体"/>
          <w:b/>
          <w:bCs/>
          <w:color w:val="000000"/>
          <w:sz w:val="28"/>
          <w:szCs w:val="28"/>
        </w:rPr>
      </w:pPr>
      <w:bookmarkStart w:id="0" w:name="_Toc488683631"/>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一、任务来源及计划要求</w:t>
      </w:r>
      <w:bookmarkEnd w:id="0"/>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依据中华全国供销合作总社下达的2014年度供销合作社行业标准制修订项目计划（供销科标便字〔2014〕21号），《农资物流信息系统技术规范》行业标准的项目计划编号为2014GH-1-016。本标准由中华全国供销合作总社科技教育部、农业生产资料局提出并归口，由中国农业生产资料流通协会、中科院合肥技术创新工程院等单位负责起草。本标准是新制定的标准。</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宋体" w:hAnsi="宋体" w:eastAsia="宋体" w:cs="宋体"/>
          <w:color w:val="000000"/>
          <w:sz w:val="24"/>
          <w:szCs w:val="24"/>
        </w:rPr>
      </w:pPr>
      <w:bookmarkStart w:id="1" w:name="_Toc488683632"/>
      <w:r>
        <w:rPr>
          <w:rFonts w:hint="eastAsia" w:ascii="宋体" w:hAnsi="宋体" w:eastAsia="宋体" w:cs="宋体"/>
          <w:b/>
          <w:bCs/>
          <w:color w:val="000000"/>
          <w:sz w:val="24"/>
          <w:szCs w:val="24"/>
        </w:rPr>
        <w:t>二、标准制定的目的和意义</w:t>
      </w:r>
      <w:bookmarkEnd w:id="1"/>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信息化是现代农资物流的基础，信息化水平的提高对于提高农资物流运作效率、管理质量和水平具有重要意义。信息化水平不高已成为制约我国农资物流行业发展的障碍。本标准的制定将为农资物流信息系统的建设提供基础支撑和指导；有利于数据在供应链上的成员内共享；有利于加快农资物流运作和管理方式的转变，提高农资物流运作效率和产业链协同效率，促进供应链一体化进程；有利于解决农资物流领域信息沟通不畅、专业水平低、规模效益差和成本高等问题，提高企业竞争力；填补目前国内缺乏统一农资物流信息系统技术功能规范标准的空白。</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宋体" w:hAnsi="宋体" w:eastAsia="宋体" w:cs="宋体"/>
          <w:b/>
          <w:bCs/>
          <w:color w:val="000000"/>
          <w:sz w:val="24"/>
          <w:szCs w:val="24"/>
        </w:rPr>
      </w:pPr>
      <w:bookmarkStart w:id="2" w:name="_Toc488683633"/>
      <w:r>
        <w:rPr>
          <w:rFonts w:hint="eastAsia" w:ascii="宋体" w:hAnsi="宋体" w:eastAsia="宋体" w:cs="宋体"/>
          <w:b/>
          <w:bCs/>
          <w:color w:val="000000"/>
          <w:sz w:val="24"/>
          <w:szCs w:val="24"/>
        </w:rPr>
        <w:t>三、本标准的编制原则</w:t>
      </w:r>
      <w:bookmarkEnd w:id="2"/>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现代农资物流是一个大系统，各环节都存在着物流信息问题。编制《农资物流信息系统技术规范》既要遵守制定标准体系应遵守的原则也要考虑农资物流信息本身的技术特点及应用特点，编制的过程主要遵循以下原则：</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color w:val="000000"/>
          <w:sz w:val="24"/>
          <w:szCs w:val="24"/>
        </w:rPr>
        <w:t>1、</w:t>
      </w:r>
      <w:r>
        <w:rPr>
          <w:rFonts w:hint="eastAsia" w:ascii="宋体" w:hAnsi="宋体" w:eastAsia="宋体" w:cs="宋体"/>
          <w:sz w:val="24"/>
          <w:szCs w:val="24"/>
        </w:rPr>
        <w:t>完整性</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系统分析农资物流的各个环节中所应用到的信息技术，提出完整的信息标准体系。</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color w:val="000000"/>
          <w:sz w:val="24"/>
          <w:szCs w:val="24"/>
        </w:rPr>
        <w:t>2、</w:t>
      </w:r>
      <w:r>
        <w:rPr>
          <w:rFonts w:hint="eastAsia" w:ascii="宋体" w:hAnsi="宋体" w:eastAsia="宋体" w:cs="宋体"/>
          <w:sz w:val="24"/>
          <w:szCs w:val="24"/>
        </w:rPr>
        <w:t>可扩展性</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技术规范应充分考虑农资物流的发展，对于一些尚未大规模推广的新技术在技术规范中也应给出相应的位置，为将来扩展留下余地。</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color w:val="000000"/>
          <w:sz w:val="24"/>
          <w:szCs w:val="24"/>
        </w:rPr>
        <w:t>3、</w:t>
      </w:r>
      <w:r>
        <w:rPr>
          <w:rFonts w:hint="eastAsia" w:ascii="宋体" w:hAnsi="宋体" w:eastAsia="宋体" w:cs="宋体"/>
          <w:sz w:val="24"/>
          <w:szCs w:val="24"/>
        </w:rPr>
        <w:t>层次性</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层次性反映出标准适用的范围。适用范围大的标准处于标准体系表的顶端，反之处于较低层次上，具体的个性标准处于最低层次。</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color w:val="000000"/>
          <w:sz w:val="24"/>
          <w:szCs w:val="24"/>
        </w:rPr>
        <w:t>4、</w:t>
      </w:r>
      <w:r>
        <w:rPr>
          <w:rFonts w:hint="eastAsia" w:ascii="宋体" w:hAnsi="宋体" w:eastAsia="宋体" w:cs="宋体"/>
          <w:sz w:val="24"/>
          <w:szCs w:val="24"/>
        </w:rPr>
        <w:t>协调性</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农资物流信息系统技术规范中规定的各个子系统既相互独立，又相互依存，子系统间有边界，也有交叉。</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color w:val="000000"/>
          <w:sz w:val="24"/>
          <w:szCs w:val="24"/>
        </w:rPr>
        <w:t>5、</w:t>
      </w:r>
      <w:r>
        <w:rPr>
          <w:rFonts w:hint="eastAsia" w:ascii="宋体" w:hAnsi="宋体" w:eastAsia="宋体" w:cs="宋体"/>
          <w:sz w:val="24"/>
          <w:szCs w:val="24"/>
        </w:rPr>
        <w:t>先进性</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农资物流信息系统技术规范应该能够适应现代农资物流对物流信息标准的需求，强调并突出发展现代农资物流需要制定和推广的关键技术，并指导农资物流信息系统的建设。</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宋体" w:hAnsi="宋体" w:eastAsia="宋体" w:cs="宋体"/>
          <w:b/>
          <w:bCs/>
          <w:color w:val="000000"/>
          <w:sz w:val="24"/>
          <w:szCs w:val="24"/>
        </w:rPr>
      </w:pPr>
      <w:bookmarkStart w:id="3" w:name="_Toc488683634"/>
      <w:r>
        <w:rPr>
          <w:rFonts w:hint="eastAsia" w:ascii="宋体" w:hAnsi="宋体" w:eastAsia="宋体" w:cs="宋体"/>
          <w:b/>
          <w:bCs/>
          <w:color w:val="000000"/>
          <w:sz w:val="24"/>
          <w:szCs w:val="24"/>
        </w:rPr>
        <w:t>四、确定本标准主要内容的依据</w:t>
      </w:r>
      <w:bookmarkEnd w:id="3"/>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在充分借鉴和吸收其他行业的研究成果基础上，以信息技术为主线，同时强调农资物流信息的服务和管理来编制农资物流信息系统技术规范。以信息的采集、加工、处理、交换和应用为主线，将各个关键技术应用其中。</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参考文件：</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SB/T 11181-2016  国际物流信息系统数据接口规范</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GH/T 1086-2013   农资商品电子代码编码规则</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GB/T 23831-2009  物流信息分类与代码 </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SB/T 10598-2011  农资配送中心运营管理规范</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宋体" w:hAnsi="宋体" w:eastAsia="宋体" w:cs="宋体"/>
          <w:b/>
          <w:bCs/>
          <w:color w:val="000000"/>
          <w:sz w:val="24"/>
          <w:szCs w:val="24"/>
        </w:rPr>
      </w:pPr>
      <w:bookmarkStart w:id="4" w:name="_Toc488683635"/>
      <w:r>
        <w:rPr>
          <w:rFonts w:hint="eastAsia" w:ascii="宋体" w:hAnsi="宋体" w:eastAsia="宋体" w:cs="宋体"/>
          <w:b/>
          <w:bCs/>
          <w:color w:val="000000"/>
          <w:sz w:val="24"/>
          <w:szCs w:val="24"/>
        </w:rPr>
        <w:t>五、标准的研究、起草过程</w:t>
      </w:r>
      <w:bookmarkEnd w:id="4"/>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根据项目要求，标准编制组制定了工作计划，主要工作过程及其进度严格按计划进行。标准编制组首先进行了大量的调研、考察，先后到安徽、浙江、吉林、河北、江苏、福建、江西等地详细调研，对以上地区供销社及农资经营企业物流信息系统建设实践经验进行总结，分析国内、国际标准编制规范，并结合项目本身的要求展开研讨，为标准初稿的起草提供了坚实的基础。</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在标准初稿形成之后，标准编制组于2016年11月在江苏无锡召开了部分行业专家及标准专家的研讨会，与会代表积极发言，对标准具体内容进行了大量和务实的研讨，为标准的编制提供了强大的支持。在以上工作的基础上，标准编制组经过多次的内部研讨、修改，确定了标准征求意见稿。</w:t>
      </w:r>
    </w:p>
    <w:p>
      <w:pPr>
        <w:keepNext w:val="0"/>
        <w:keepLines w:val="0"/>
        <w:pageBreakBefore w:val="0"/>
        <w:kinsoku/>
        <w:wordWrap/>
        <w:overflowPunct/>
        <w:topLinePunct w:val="0"/>
        <w:autoSpaceDE/>
        <w:autoSpaceDN/>
        <w:bidi w:val="0"/>
        <w:adjustRightInd/>
        <w:snapToGrid/>
        <w:spacing w:line="360" w:lineRule="auto"/>
        <w:ind w:left="0" w:leftChars="0" w:right="0" w:rightChars="0"/>
        <w:textAlignment w:val="auto"/>
        <w:outlineLvl w:val="9"/>
        <w:rPr>
          <w:rFonts w:hint="eastAsia" w:ascii="宋体" w:hAnsi="宋体" w:eastAsia="宋体" w:cs="宋体"/>
          <w:b/>
          <w:bCs/>
          <w:color w:val="000000"/>
          <w:sz w:val="24"/>
          <w:szCs w:val="24"/>
        </w:rPr>
      </w:pPr>
      <w:bookmarkStart w:id="5" w:name="_Toc488683636"/>
      <w:r>
        <w:rPr>
          <w:rFonts w:hint="eastAsia" w:ascii="宋体" w:hAnsi="宋体" w:eastAsia="宋体" w:cs="宋体"/>
          <w:b/>
          <w:bCs/>
          <w:color w:val="000000"/>
          <w:sz w:val="24"/>
          <w:szCs w:val="24"/>
        </w:rPr>
        <w:t>六、标准的主要内容</w:t>
      </w:r>
      <w:bookmarkEnd w:id="5"/>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本标准分为6部分，主要内容如下：</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1、总则</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介绍本标准的主要内容以及本标准所适用的领域。本规范适用于农资物流信息系统的建设、运行、维护和管理。农资物流信息系统的建设、运行、维护和管理，除应符合本规范的规定外，尚应符合国家现行有关标准的规定。 </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2、规范性引用文件</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下列文件中的条款通过本规范的引用而构成为本规范的条款。凡是注明日期的引用文件，其随后所有的修改单（不包括勘误内容）或修订版均不适用于本规范。凡是不注明日期的引用文件，其最新版本适用于本规范。</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SB/T 11181-2016  国际物流信息系统数据接口规范</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GH/T 1086-2013   农资商品电子代码编码规则</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GB/T 23831-2009  物流信息分类与代码 </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SB/T 10598-2011  农资配送中心运营管理规范</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3、术语和定义</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为了规范农资物流信息系统的建设，本章对“物流、物流活动、物流信息、农资物流信息系统”等术语进行了定义。</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4、结构框架和功能</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本章主要介绍了农资物流信息系统的总体框架及功能。农资物流信息系统应利用物联网技术，按照分层设计、模块构建的原则，进行规划设计和系统建设。农资物流信息系统主要包括网络平台、基础设施层、数据层、支撑服务层、应用层及公共服务层。</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其中网络平台应为农资物流信息系统提供信息通信服务；基础设施层应为农资物流信息系统提供所需的运行环境、网络连接和信息安全等功能；数据层应包括基础数据、操作数据和统计数据，为支撑服务层和应用层提供数据支持；支撑服务层应具有组织和整合各类数据、组件和服务的功能，为应用层的建立和运行提供支撑服务。</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5、农资配送中心信息系统技术规范</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本章详细介绍了农资配送中心信息系统的总体要求、功能组成及数据构成。配送中心信息系统主要向各农资连锁经营网点提供配送物资的信息，根据订货查询及配送能力制订配送方案、发出配送指示、发出结算指示及发货通知，汇总及反馈配送信息。通过配送中心信息系统的建立，达到盘活库存商品资金，加快商品周转速度，减少商品库存量，减少滞销商品率，提高销售额的目地。</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本章对这些内容做了相关规定。</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bookmarkStart w:id="6" w:name="_Toc488075348"/>
      <w:r>
        <w:rPr>
          <w:rFonts w:hint="eastAsia" w:ascii="宋体" w:hAnsi="宋体" w:eastAsia="宋体" w:cs="宋体"/>
          <w:sz w:val="24"/>
          <w:szCs w:val="24"/>
        </w:rPr>
        <w:t>6、农资仓储系统技术规范</w:t>
      </w:r>
      <w:bookmarkEnd w:id="6"/>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本章详细介绍了农资仓储系统的总体要求、功能组成及数据构成。农资仓储管理系统对农资仓储各环节实施全过程控制管理，对入库、出库、盘点等各个环节进行规范化作业，实现批次管理、快速出入库和动态盘点，从而帮助仓库管理人员对库存物品的入库、出库、移动、盘点、配料等操作进行全面的控制和管理。</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本章对这些内容做了相关规定。</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7、农资配送系统技术规范</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本章详细介绍了农资配送系统的总体要求、功能组成及数据构成。农资物流配送系统主要根据配送中心信息系统销售订单，结合与自有车辆和外雇车辆状况，合理安排调度车辆，提高车辆的利用率。对于多点配送，合理规划配送路径，同时对配送过程进行实施监控，汇总及反馈相关配送信息，实现农资的在途跟踪的功能。</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本章对这些内容做了相关规定。</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8、系统接口和安全</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本章详细介绍了农资物流信息系统各子系统间的数据共享要求、数据接口要求，数据编码要求、系统可靠性要求及系统安全性要求等内容。</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本章对这些内容做了规定。</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9、系统运行模式和运行环境</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本章详细介绍了农资物流信息系统的运行模式和运行环境，系统可采用集中式部署或分布式部署2种部署方式，包括内部物流业务系统和对外查询服务两部分，此外系统所在环境的安全保护应遵循相关国家标准。</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本章对这些内容做了相关规定。</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10、</w:t>
      </w:r>
      <w:bookmarkStart w:id="7" w:name="_Toc488075367"/>
      <w:r>
        <w:rPr>
          <w:rFonts w:hint="eastAsia" w:ascii="宋体" w:hAnsi="宋体" w:eastAsia="宋体" w:cs="宋体"/>
          <w:sz w:val="24"/>
          <w:szCs w:val="24"/>
        </w:rPr>
        <w:t>系统维护</w:t>
      </w:r>
      <w:bookmarkEnd w:id="7"/>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本章详细介绍了农资物流信息系统运行中的系统维护，包括系统正确性维护、系统适应性维护、系统完善性维护，以保证系统出现异常后 8h 内恢复运行。</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本章对这些内容做了相关规定。</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1440" w:firstLineChars="600"/>
        <w:jc w:val="right"/>
        <w:textAlignment w:val="auto"/>
        <w:outlineLvl w:val="9"/>
        <w:rPr>
          <w:rFonts w:hint="eastAsia" w:ascii="宋体" w:hAnsi="宋体" w:eastAsia="宋体" w:cs="宋体"/>
          <w:sz w:val="24"/>
          <w:szCs w:val="24"/>
        </w:rPr>
      </w:pPr>
    </w:p>
    <w:p>
      <w:pPr>
        <w:keepNext w:val="0"/>
        <w:keepLines w:val="0"/>
        <w:pageBreakBefore w:val="0"/>
        <w:kinsoku/>
        <w:wordWrap/>
        <w:overflowPunct/>
        <w:topLinePunct w:val="0"/>
        <w:autoSpaceDE/>
        <w:autoSpaceDN/>
        <w:bidi w:val="0"/>
        <w:adjustRightInd/>
        <w:snapToGrid/>
        <w:spacing w:line="360" w:lineRule="auto"/>
        <w:ind w:left="0" w:leftChars="0" w:right="0" w:rightChars="0" w:firstLine="1440" w:firstLineChars="600"/>
        <w:jc w:val="right"/>
        <w:textAlignment w:val="auto"/>
        <w:outlineLvl w:val="9"/>
        <w:rPr>
          <w:rFonts w:hint="eastAsia" w:ascii="宋体" w:hAnsi="宋体" w:eastAsia="宋体" w:cs="宋体"/>
          <w:sz w:val="24"/>
          <w:szCs w:val="24"/>
        </w:rPr>
      </w:pP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textAlignment w:val="auto"/>
        <w:outlineLvl w:val="9"/>
        <w:rPr>
          <w:rFonts w:hint="eastAsia" w:ascii="宋体" w:hAnsi="宋体" w:eastAsia="宋体" w:cs="宋体"/>
          <w:sz w:val="24"/>
          <w:szCs w:val="24"/>
        </w:rPr>
      </w:pP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360" w:lineRule="auto"/>
        <w:ind w:left="0" w:leftChars="0" w:right="0" w:rightChars="0" w:firstLine="480" w:firstLineChars="200"/>
        <w:jc w:val="right"/>
        <w:textAlignment w:val="auto"/>
        <w:outlineLvl w:val="9"/>
        <w:rPr>
          <w:rFonts w:hint="eastAsia" w:ascii="宋体" w:hAnsi="宋体" w:eastAsia="宋体" w:cs="宋体"/>
          <w:sz w:val="24"/>
          <w:szCs w:val="24"/>
        </w:rPr>
      </w:pPr>
      <w:r>
        <w:rPr>
          <w:rFonts w:hint="eastAsia" w:ascii="宋体" w:hAnsi="宋体" w:eastAsia="宋体" w:cs="宋体"/>
          <w:sz w:val="24"/>
          <w:szCs w:val="24"/>
        </w:rPr>
        <w:t>《农资物流信息系统技术规范》编制组</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1440" w:firstLineChars="600"/>
        <w:jc w:val="right"/>
        <w:textAlignment w:val="auto"/>
        <w:outlineLvl w:val="9"/>
        <w:rPr>
          <w:rFonts w:hint="eastAsia" w:ascii="宋体" w:hAnsi="宋体" w:eastAsia="宋体" w:cs="宋体"/>
          <w:sz w:val="24"/>
          <w:szCs w:val="24"/>
        </w:rPr>
      </w:pPr>
      <w:r>
        <w:rPr>
          <w:rFonts w:hint="eastAsia" w:ascii="宋体" w:hAnsi="宋体" w:eastAsia="宋体" w:cs="宋体"/>
          <w:sz w:val="24"/>
          <w:szCs w:val="24"/>
        </w:rPr>
        <w:t>二〇一</w:t>
      </w:r>
      <w:r>
        <w:rPr>
          <w:rFonts w:hint="eastAsia" w:ascii="宋体" w:hAnsi="宋体" w:cs="宋体"/>
          <w:sz w:val="24"/>
          <w:szCs w:val="24"/>
          <w:lang w:eastAsia="zh-CN"/>
        </w:rPr>
        <w:t>七</w:t>
      </w:r>
      <w:r>
        <w:rPr>
          <w:rFonts w:hint="eastAsia" w:ascii="宋体" w:hAnsi="宋体" w:eastAsia="宋体" w:cs="宋体"/>
          <w:sz w:val="24"/>
          <w:szCs w:val="24"/>
        </w:rPr>
        <w:t>年七月十六日</w:t>
      </w:r>
    </w:p>
    <w:sectPr>
      <w:headerReference r:id="rId4" w:type="first"/>
      <w:headerReference r:id="rId3" w:type="default"/>
      <w:footerReference r:id="rId5" w:type="default"/>
      <w:footerReference r:id="rId6" w:type="even"/>
      <w:pgSz w:w="11906" w:h="16838"/>
      <w:pgMar w:top="1134" w:right="1287" w:bottom="1134" w:left="179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ˎ̥">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altName w:val="宋体"/>
    <w:panose1 w:val="02010600030101010101"/>
    <w:charset w:val="86"/>
    <w:family w:val="auto"/>
    <w:pitch w:val="default"/>
    <w:sig w:usb0="00000000" w:usb1="00000000"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3"/>
      </w:rPr>
    </w:pPr>
    <w:r>
      <w:fldChar w:fldCharType="begin"/>
    </w:r>
    <w:r>
      <w:rPr>
        <w:rStyle w:val="13"/>
      </w:rPr>
      <w:instrText xml:space="preserve">PAGE  </w:instrText>
    </w:r>
    <w:r>
      <w:fldChar w:fldCharType="separate"/>
    </w:r>
    <w:r>
      <w:rPr>
        <w:rStyle w:val="13"/>
      </w:rPr>
      <w:t>4</w:t>
    </w:r>
    <w:r>
      <w:fldChar w:fldCharType="end"/>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3"/>
      </w:rPr>
    </w:pPr>
    <w:r>
      <w:fldChar w:fldCharType="begin"/>
    </w:r>
    <w:r>
      <w:rPr>
        <w:rStyle w:val="13"/>
      </w:rPr>
      <w:instrText xml:space="preserve">PAGE  </w:instrText>
    </w:r>
    <w:r>
      <w:fldChar w:fldCharType="end"/>
    </w:r>
  </w:p>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96A84"/>
    <w:multiLevelType w:val="multilevel"/>
    <w:tmpl w:val="0D896A84"/>
    <w:lvl w:ilvl="0" w:tentative="0">
      <w:start w:val="1"/>
      <w:numFmt w:val="decimal"/>
      <w:pStyle w:val="2"/>
      <w:lvlText w:val="%1"/>
      <w:lvlJc w:val="left"/>
      <w:pPr>
        <w:tabs>
          <w:tab w:val="left" w:pos="425"/>
        </w:tabs>
        <w:ind w:left="425" w:hanging="425"/>
      </w:pPr>
      <w:rPr>
        <w:rFonts w:hint="eastAsia" w:ascii="黑体" w:hAnsi="黑体" w:eastAsia="黑体"/>
      </w:rPr>
    </w:lvl>
    <w:lvl w:ilvl="1" w:tentative="0">
      <w:start w:val="1"/>
      <w:numFmt w:val="decimal"/>
      <w:lvlText w:val="%1.%2"/>
      <w:lvlJc w:val="left"/>
      <w:pPr>
        <w:tabs>
          <w:tab w:val="left" w:pos="567"/>
        </w:tabs>
        <w:ind w:left="567" w:hanging="567"/>
      </w:pPr>
      <w:rPr>
        <w:rFonts w:hint="eastAsia" w:ascii="黑体" w:hAnsi="黑体" w:eastAsia="黑体"/>
        <w:sz w:val="24"/>
        <w:szCs w:val="24"/>
      </w:rPr>
    </w:lvl>
    <w:lvl w:ilvl="2" w:tentative="0">
      <w:start w:val="1"/>
      <w:numFmt w:val="decimal"/>
      <w:lvlText w:val="%1.%2.%3"/>
      <w:lvlJc w:val="left"/>
      <w:pPr>
        <w:tabs>
          <w:tab w:val="left" w:pos="709"/>
        </w:tabs>
        <w:ind w:left="709" w:hanging="709"/>
      </w:pPr>
      <w:rPr>
        <w:rFonts w:hint="eastAsia" w:ascii="黑体" w:hAnsi="黑体" w:eastAsia="黑体"/>
      </w:rPr>
    </w:lvl>
    <w:lvl w:ilvl="3" w:tentative="0">
      <w:start w:val="1"/>
      <w:numFmt w:val="decimal"/>
      <w:suff w:val="nothing"/>
      <w:lvlText w:val="（%4）"/>
      <w:lvlJc w:val="left"/>
      <w:pPr>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13A0C"/>
    <w:rsid w:val="00014311"/>
    <w:rsid w:val="0001468C"/>
    <w:rsid w:val="000320F2"/>
    <w:rsid w:val="0004738A"/>
    <w:rsid w:val="00060F3C"/>
    <w:rsid w:val="00064B68"/>
    <w:rsid w:val="0007207C"/>
    <w:rsid w:val="00075F6D"/>
    <w:rsid w:val="0007669C"/>
    <w:rsid w:val="00093E99"/>
    <w:rsid w:val="000B21E0"/>
    <w:rsid w:val="000D3E29"/>
    <w:rsid w:val="00100582"/>
    <w:rsid w:val="00121B85"/>
    <w:rsid w:val="00130DD0"/>
    <w:rsid w:val="00172A27"/>
    <w:rsid w:val="001A392D"/>
    <w:rsid w:val="001B41AD"/>
    <w:rsid w:val="001B46F3"/>
    <w:rsid w:val="001C22CD"/>
    <w:rsid w:val="001C3EA5"/>
    <w:rsid w:val="001E70DA"/>
    <w:rsid w:val="001F3B61"/>
    <w:rsid w:val="00214C9F"/>
    <w:rsid w:val="0022516F"/>
    <w:rsid w:val="00251687"/>
    <w:rsid w:val="00253D99"/>
    <w:rsid w:val="00265C50"/>
    <w:rsid w:val="00287970"/>
    <w:rsid w:val="002D4E95"/>
    <w:rsid w:val="002E555D"/>
    <w:rsid w:val="002E70D1"/>
    <w:rsid w:val="002F0558"/>
    <w:rsid w:val="002F2372"/>
    <w:rsid w:val="003273B8"/>
    <w:rsid w:val="00327E78"/>
    <w:rsid w:val="00330A18"/>
    <w:rsid w:val="003A25C5"/>
    <w:rsid w:val="003B3CB8"/>
    <w:rsid w:val="003E0D20"/>
    <w:rsid w:val="003E1A51"/>
    <w:rsid w:val="003E1A86"/>
    <w:rsid w:val="003F04E1"/>
    <w:rsid w:val="003F60B5"/>
    <w:rsid w:val="003F74D7"/>
    <w:rsid w:val="00402C5A"/>
    <w:rsid w:val="00405C70"/>
    <w:rsid w:val="004068E5"/>
    <w:rsid w:val="004158C3"/>
    <w:rsid w:val="004227E3"/>
    <w:rsid w:val="00434FB8"/>
    <w:rsid w:val="00450685"/>
    <w:rsid w:val="00463B17"/>
    <w:rsid w:val="00472C09"/>
    <w:rsid w:val="00483FD0"/>
    <w:rsid w:val="004861F0"/>
    <w:rsid w:val="00497573"/>
    <w:rsid w:val="004A6879"/>
    <w:rsid w:val="004B0C14"/>
    <w:rsid w:val="004C724F"/>
    <w:rsid w:val="004D32A1"/>
    <w:rsid w:val="004D58A6"/>
    <w:rsid w:val="004E5482"/>
    <w:rsid w:val="004E6D5B"/>
    <w:rsid w:val="004F2297"/>
    <w:rsid w:val="004F3C6F"/>
    <w:rsid w:val="005061D6"/>
    <w:rsid w:val="00517EBD"/>
    <w:rsid w:val="00521E83"/>
    <w:rsid w:val="00530FAA"/>
    <w:rsid w:val="00536684"/>
    <w:rsid w:val="00541C46"/>
    <w:rsid w:val="005630C5"/>
    <w:rsid w:val="005653EC"/>
    <w:rsid w:val="00576026"/>
    <w:rsid w:val="00583C71"/>
    <w:rsid w:val="00591AA5"/>
    <w:rsid w:val="0059524E"/>
    <w:rsid w:val="005B3EE6"/>
    <w:rsid w:val="005B58EF"/>
    <w:rsid w:val="005B66E0"/>
    <w:rsid w:val="005D289F"/>
    <w:rsid w:val="005E7AB3"/>
    <w:rsid w:val="005F0668"/>
    <w:rsid w:val="0062170D"/>
    <w:rsid w:val="00650122"/>
    <w:rsid w:val="0065133C"/>
    <w:rsid w:val="006527AE"/>
    <w:rsid w:val="00652BDC"/>
    <w:rsid w:val="00655286"/>
    <w:rsid w:val="00663E69"/>
    <w:rsid w:val="00677AAD"/>
    <w:rsid w:val="00677DC4"/>
    <w:rsid w:val="00684690"/>
    <w:rsid w:val="006B19CB"/>
    <w:rsid w:val="006C5690"/>
    <w:rsid w:val="006D34D4"/>
    <w:rsid w:val="006E57A6"/>
    <w:rsid w:val="006F36F2"/>
    <w:rsid w:val="006F6678"/>
    <w:rsid w:val="007001D7"/>
    <w:rsid w:val="00705F15"/>
    <w:rsid w:val="00720A97"/>
    <w:rsid w:val="0072364A"/>
    <w:rsid w:val="007314B0"/>
    <w:rsid w:val="00787BB3"/>
    <w:rsid w:val="007B0C94"/>
    <w:rsid w:val="007C13CE"/>
    <w:rsid w:val="007C184C"/>
    <w:rsid w:val="007E6069"/>
    <w:rsid w:val="008057F6"/>
    <w:rsid w:val="008061C7"/>
    <w:rsid w:val="008243F9"/>
    <w:rsid w:val="00833320"/>
    <w:rsid w:val="0083360B"/>
    <w:rsid w:val="0086018C"/>
    <w:rsid w:val="00884CA7"/>
    <w:rsid w:val="00894487"/>
    <w:rsid w:val="00895C38"/>
    <w:rsid w:val="008A0C26"/>
    <w:rsid w:val="008A27B8"/>
    <w:rsid w:val="008A3C6F"/>
    <w:rsid w:val="008A6810"/>
    <w:rsid w:val="008A7B06"/>
    <w:rsid w:val="008B4A36"/>
    <w:rsid w:val="008C0E54"/>
    <w:rsid w:val="008C2E0E"/>
    <w:rsid w:val="008C2FE0"/>
    <w:rsid w:val="008D4672"/>
    <w:rsid w:val="008F0E33"/>
    <w:rsid w:val="008F3E9A"/>
    <w:rsid w:val="008F614F"/>
    <w:rsid w:val="008F66FA"/>
    <w:rsid w:val="00900E88"/>
    <w:rsid w:val="009011FC"/>
    <w:rsid w:val="00921346"/>
    <w:rsid w:val="00946CCC"/>
    <w:rsid w:val="00964B12"/>
    <w:rsid w:val="009779A5"/>
    <w:rsid w:val="00980BB0"/>
    <w:rsid w:val="00981C06"/>
    <w:rsid w:val="009831F1"/>
    <w:rsid w:val="00986774"/>
    <w:rsid w:val="009D085B"/>
    <w:rsid w:val="00A00768"/>
    <w:rsid w:val="00A017EC"/>
    <w:rsid w:val="00A052DA"/>
    <w:rsid w:val="00A14265"/>
    <w:rsid w:val="00A50540"/>
    <w:rsid w:val="00A529A5"/>
    <w:rsid w:val="00A5450D"/>
    <w:rsid w:val="00A63C84"/>
    <w:rsid w:val="00A844B5"/>
    <w:rsid w:val="00A87A04"/>
    <w:rsid w:val="00A91DDB"/>
    <w:rsid w:val="00A95AF4"/>
    <w:rsid w:val="00A95B9D"/>
    <w:rsid w:val="00AB29FA"/>
    <w:rsid w:val="00AB5DFA"/>
    <w:rsid w:val="00AB6493"/>
    <w:rsid w:val="00AB7B38"/>
    <w:rsid w:val="00AD0186"/>
    <w:rsid w:val="00AE2B08"/>
    <w:rsid w:val="00AE7FB4"/>
    <w:rsid w:val="00B05C09"/>
    <w:rsid w:val="00B25652"/>
    <w:rsid w:val="00B3545C"/>
    <w:rsid w:val="00B40EF7"/>
    <w:rsid w:val="00B46763"/>
    <w:rsid w:val="00B53D2A"/>
    <w:rsid w:val="00B563AA"/>
    <w:rsid w:val="00B67259"/>
    <w:rsid w:val="00B915BE"/>
    <w:rsid w:val="00BB1997"/>
    <w:rsid w:val="00BC1AB7"/>
    <w:rsid w:val="00BC3555"/>
    <w:rsid w:val="00BF2A54"/>
    <w:rsid w:val="00C07FE5"/>
    <w:rsid w:val="00C10E88"/>
    <w:rsid w:val="00C12305"/>
    <w:rsid w:val="00C15E01"/>
    <w:rsid w:val="00C23C81"/>
    <w:rsid w:val="00C33BFE"/>
    <w:rsid w:val="00C37EA3"/>
    <w:rsid w:val="00C65EB7"/>
    <w:rsid w:val="00C7029F"/>
    <w:rsid w:val="00C7559D"/>
    <w:rsid w:val="00C83CBA"/>
    <w:rsid w:val="00C93166"/>
    <w:rsid w:val="00CA105B"/>
    <w:rsid w:val="00CA4DE1"/>
    <w:rsid w:val="00CB15A0"/>
    <w:rsid w:val="00CB32A0"/>
    <w:rsid w:val="00CE5053"/>
    <w:rsid w:val="00D009E5"/>
    <w:rsid w:val="00D40DBD"/>
    <w:rsid w:val="00D57018"/>
    <w:rsid w:val="00DC687A"/>
    <w:rsid w:val="00DD6E1B"/>
    <w:rsid w:val="00E13495"/>
    <w:rsid w:val="00E42B96"/>
    <w:rsid w:val="00E42D53"/>
    <w:rsid w:val="00E43F83"/>
    <w:rsid w:val="00E4793C"/>
    <w:rsid w:val="00E562C8"/>
    <w:rsid w:val="00E7402E"/>
    <w:rsid w:val="00E854A3"/>
    <w:rsid w:val="00E86FE4"/>
    <w:rsid w:val="00EB64AE"/>
    <w:rsid w:val="00ED1645"/>
    <w:rsid w:val="00ED1ABF"/>
    <w:rsid w:val="00EE2841"/>
    <w:rsid w:val="00EE6E9A"/>
    <w:rsid w:val="00EF15CC"/>
    <w:rsid w:val="00EF2407"/>
    <w:rsid w:val="00EF3591"/>
    <w:rsid w:val="00F354A6"/>
    <w:rsid w:val="00F471FA"/>
    <w:rsid w:val="00F61F73"/>
    <w:rsid w:val="00F70196"/>
    <w:rsid w:val="00F76954"/>
    <w:rsid w:val="00F90BF6"/>
    <w:rsid w:val="00F92208"/>
    <w:rsid w:val="00FC2EA2"/>
    <w:rsid w:val="00FC799F"/>
    <w:rsid w:val="00FE191C"/>
    <w:rsid w:val="00FF7761"/>
    <w:rsid w:val="02CF56E1"/>
    <w:rsid w:val="554E028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3"/>
    <w:link w:val="27"/>
    <w:qFormat/>
    <w:uiPriority w:val="0"/>
    <w:pPr>
      <w:keepLines/>
      <w:numPr>
        <w:ilvl w:val="0"/>
        <w:numId w:val="1"/>
      </w:numPr>
      <w:spacing w:before="60" w:after="60"/>
      <w:outlineLvl w:val="0"/>
    </w:pPr>
    <w:rPr>
      <w:rFonts w:eastAsia="黑体"/>
      <w:bCs/>
      <w:kern w:val="44"/>
      <w:sz w:val="28"/>
      <w:szCs w:val="44"/>
    </w:rPr>
  </w:style>
  <w:style w:type="paragraph" w:styleId="4">
    <w:name w:val="heading 2"/>
    <w:basedOn w:val="1"/>
    <w:next w:val="1"/>
    <w:link w:val="24"/>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26"/>
    <w:qFormat/>
    <w:uiPriority w:val="0"/>
    <w:pPr>
      <w:keepNext/>
      <w:keepLines/>
      <w:spacing w:before="260" w:after="260" w:line="416" w:lineRule="auto"/>
      <w:outlineLvl w:val="2"/>
    </w:pPr>
    <w:rPr>
      <w:b/>
      <w:bCs/>
      <w:sz w:val="32"/>
      <w:szCs w:val="32"/>
    </w:rPr>
  </w:style>
  <w:style w:type="character" w:default="1" w:styleId="11">
    <w:name w:val="Default Paragraph Font"/>
    <w:unhideWhenUsed/>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6">
    <w:name w:val="Plain Text"/>
    <w:basedOn w:val="1"/>
    <w:qFormat/>
    <w:uiPriority w:val="0"/>
    <w:rPr>
      <w:rFonts w:ascii="宋体" w:hAnsi="Courier New" w:cs="Courier New"/>
      <w:szCs w:val="21"/>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character" w:styleId="12">
    <w:name w:val="Strong"/>
    <w:qFormat/>
    <w:uiPriority w:val="0"/>
    <w:rPr>
      <w:b/>
      <w:bCs/>
    </w:rPr>
  </w:style>
  <w:style w:type="character" w:styleId="13">
    <w:name w:val="page number"/>
    <w:basedOn w:val="11"/>
    <w:qFormat/>
    <w:uiPriority w:val="0"/>
  </w:style>
  <w:style w:type="character" w:styleId="14">
    <w:name w:val="Hyperlink"/>
    <w:qFormat/>
    <w:uiPriority w:val="99"/>
    <w:rPr>
      <w:color w:val="0000FF"/>
      <w:u w:val="single"/>
    </w:rPr>
  </w:style>
  <w:style w:type="character" w:customStyle="1" w:styleId="16">
    <w:name w:val="页眉 Char"/>
    <w:link w:val="9"/>
    <w:qFormat/>
    <w:uiPriority w:val="0"/>
    <w:rPr>
      <w:kern w:val="2"/>
      <w:sz w:val="18"/>
      <w:szCs w:val="18"/>
    </w:rPr>
  </w:style>
  <w:style w:type="paragraph" w:customStyle="1" w:styleId="17">
    <w:name w:val="段"/>
    <w:link w:val="23"/>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8">
    <w:name w:val="List Paragraph"/>
    <w:basedOn w:val="1"/>
    <w:qFormat/>
    <w:uiPriority w:val="0"/>
    <w:pPr>
      <w:ind w:firstLine="420" w:firstLineChars="200"/>
    </w:pPr>
  </w:style>
  <w:style w:type="paragraph" w:customStyle="1" w:styleId="19">
    <w:name w:val="1 Char"/>
    <w:basedOn w:val="1"/>
    <w:next w:val="1"/>
    <w:qFormat/>
    <w:uiPriority w:val="0"/>
    <w:pPr>
      <w:widowControl/>
      <w:spacing w:before="120" w:after="120"/>
      <w:jc w:val="left"/>
    </w:pPr>
    <w:rPr>
      <w:szCs w:val="20"/>
    </w:rPr>
  </w:style>
  <w:style w:type="paragraph" w:customStyle="1" w:styleId="20">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21">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character" w:customStyle="1" w:styleId="22">
    <w:name w:val="txtcontent11"/>
    <w:uiPriority w:val="0"/>
    <w:rPr>
      <w:rFonts w:hint="default" w:ascii="ˎ̥" w:hAnsi="ˎ̥"/>
      <w:color w:val="000000"/>
      <w:sz w:val="21"/>
      <w:szCs w:val="21"/>
    </w:rPr>
  </w:style>
  <w:style w:type="character" w:customStyle="1" w:styleId="23">
    <w:name w:val="段 Char"/>
    <w:link w:val="17"/>
    <w:locked/>
    <w:uiPriority w:val="0"/>
    <w:rPr>
      <w:rFonts w:ascii="宋体"/>
      <w:sz w:val="21"/>
      <w:lang w:val="en-US" w:eastAsia="zh-CN" w:bidi="ar-SA"/>
    </w:rPr>
  </w:style>
  <w:style w:type="character" w:customStyle="1" w:styleId="24">
    <w:name w:val="标题 2 Char"/>
    <w:link w:val="4"/>
    <w:qFormat/>
    <w:uiPriority w:val="0"/>
    <w:rPr>
      <w:rFonts w:ascii="Arial" w:hAnsi="Arial" w:eastAsia="黑体"/>
      <w:b/>
      <w:bCs/>
      <w:kern w:val="2"/>
      <w:sz w:val="32"/>
      <w:szCs w:val="32"/>
    </w:rPr>
  </w:style>
  <w:style w:type="paragraph" w:customStyle="1" w:styleId="25">
    <w:name w:val="列出段落1"/>
    <w:basedOn w:val="1"/>
    <w:uiPriority w:val="0"/>
    <w:pPr>
      <w:ind w:firstLine="420" w:firstLineChars="200"/>
    </w:pPr>
    <w:rPr>
      <w:rFonts w:ascii="Calibri" w:hAnsi="Calibri"/>
      <w:szCs w:val="22"/>
    </w:rPr>
  </w:style>
  <w:style w:type="character" w:customStyle="1" w:styleId="26">
    <w:name w:val="标题 3 Char"/>
    <w:link w:val="5"/>
    <w:qFormat/>
    <w:uiPriority w:val="0"/>
    <w:rPr>
      <w:b/>
      <w:bCs/>
      <w:kern w:val="2"/>
      <w:sz w:val="32"/>
      <w:szCs w:val="32"/>
    </w:rPr>
  </w:style>
  <w:style w:type="character" w:customStyle="1" w:styleId="27">
    <w:name w:val="标题 1 Char"/>
    <w:link w:val="2"/>
    <w:qFormat/>
    <w:locked/>
    <w:uiPriority w:val="0"/>
    <w:rPr>
      <w:rFonts w:eastAsia="黑体"/>
      <w:bCs/>
      <w:kern w:val="44"/>
      <w:sz w:val="28"/>
      <w:szCs w:val="44"/>
      <w:lang w:val="en-US" w:eastAsia="zh-CN" w:bidi="ar-SA"/>
    </w:rPr>
  </w:style>
  <w:style w:type="paragraph" w:customStyle="1" w:styleId="28">
    <w:name w:val="Char Char1"/>
    <w:basedOn w:val="1"/>
    <w:uiPriority w:val="0"/>
    <w:pPr>
      <w:widowControl/>
      <w:spacing w:after="160" w:line="240" w:lineRule="exact"/>
      <w:jc w:val="left"/>
    </w:pPr>
    <w:rPr>
      <w:rFonts w:ascii="Verdana" w:hAnsi="Verdana"/>
      <w:kern w:val="0"/>
      <w:sz w:val="20"/>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460</Words>
  <Characters>2628</Characters>
  <Lines>21</Lines>
  <Paragraphs>6</Paragraphs>
  <ScaleCrop>false</ScaleCrop>
  <LinksUpToDate>false</LinksUpToDate>
  <CharactersWithSpaces>3082</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2017-10-11T05:55:00Z</dcterms:created>
  <dc:creator>71</dc:creator>
  <cp:lastModifiedBy>tianjiarun</cp:lastModifiedBy>
  <cp:lastPrinted>2013-10-29T03:28:00Z</cp:lastPrinted>
  <dcterms:modified xsi:type="dcterms:W3CDTF">2017-10-19T07:18:46Z</dcterms:modified>
  <dc:title>《制表用纯钛板材》</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